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31" w:rsidRDefault="00C629E1" w:rsidP="00952109">
      <w:pPr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</w:t>
      </w:r>
    </w:p>
    <w:p w:rsidR="00D45931" w:rsidRDefault="00D45931" w:rsidP="00952109">
      <w:pPr>
        <w:rPr>
          <w:sz w:val="26"/>
          <w:szCs w:val="26"/>
        </w:rPr>
      </w:pPr>
    </w:p>
    <w:p w:rsidR="00D45931" w:rsidRPr="00C57FF9" w:rsidRDefault="00D45931" w:rsidP="00D45931">
      <w:pPr>
        <w:ind w:left="142" w:firstLine="567"/>
        <w:jc w:val="center"/>
        <w:rPr>
          <w:b/>
          <w:sz w:val="26"/>
          <w:szCs w:val="26"/>
        </w:rPr>
      </w:pPr>
      <w:r w:rsidRPr="00C57FF9">
        <w:rPr>
          <w:b/>
          <w:sz w:val="26"/>
          <w:szCs w:val="26"/>
        </w:rPr>
        <w:t xml:space="preserve">Пояснювальна записка </w:t>
      </w:r>
    </w:p>
    <w:p w:rsidR="00D45931" w:rsidRPr="00C57FF9" w:rsidRDefault="00D45931" w:rsidP="00D45931">
      <w:pPr>
        <w:ind w:left="142" w:firstLine="567"/>
        <w:jc w:val="center"/>
        <w:rPr>
          <w:b/>
          <w:sz w:val="26"/>
          <w:szCs w:val="26"/>
        </w:rPr>
      </w:pPr>
      <w:r w:rsidRPr="00C57FF9">
        <w:rPr>
          <w:b/>
          <w:sz w:val="26"/>
          <w:szCs w:val="26"/>
        </w:rPr>
        <w:t xml:space="preserve">до звіту про виконання бюджету </w:t>
      </w:r>
    </w:p>
    <w:p w:rsidR="00D45931" w:rsidRPr="00C57FF9" w:rsidRDefault="00D45931" w:rsidP="00D45931">
      <w:pPr>
        <w:ind w:left="142" w:firstLine="567"/>
        <w:jc w:val="center"/>
        <w:rPr>
          <w:b/>
          <w:sz w:val="26"/>
          <w:szCs w:val="26"/>
        </w:rPr>
      </w:pPr>
      <w:r w:rsidRPr="00C57FF9">
        <w:rPr>
          <w:b/>
          <w:sz w:val="26"/>
          <w:szCs w:val="26"/>
        </w:rPr>
        <w:t xml:space="preserve">Широківської селищної територіальної громади </w:t>
      </w:r>
    </w:p>
    <w:p w:rsidR="00D45931" w:rsidRPr="00C57FF9" w:rsidRDefault="00D45931" w:rsidP="00D45931">
      <w:pPr>
        <w:jc w:val="center"/>
        <w:rPr>
          <w:b/>
          <w:sz w:val="26"/>
          <w:szCs w:val="26"/>
        </w:rPr>
      </w:pPr>
      <w:r w:rsidRPr="00C57FF9">
        <w:rPr>
          <w:b/>
          <w:sz w:val="26"/>
          <w:szCs w:val="26"/>
        </w:rPr>
        <w:t>за І квартал 2023 року</w:t>
      </w:r>
    </w:p>
    <w:p w:rsidR="00D45931" w:rsidRPr="00C57FF9" w:rsidRDefault="00D45931" w:rsidP="00D45931">
      <w:pPr>
        <w:ind w:firstLine="720"/>
        <w:jc w:val="both"/>
        <w:rPr>
          <w:b/>
          <w:sz w:val="26"/>
          <w:szCs w:val="26"/>
        </w:rPr>
      </w:pP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Відповідно до звітних даних державної казначейської служби України </w:t>
      </w:r>
      <w:r w:rsidRPr="00C57FF9">
        <w:rPr>
          <w:b/>
          <w:sz w:val="26"/>
          <w:szCs w:val="26"/>
        </w:rPr>
        <w:t>дохідна частина</w:t>
      </w:r>
      <w:r w:rsidRPr="00C57FF9">
        <w:rPr>
          <w:sz w:val="26"/>
          <w:szCs w:val="26"/>
        </w:rPr>
        <w:t xml:space="preserve"> загального фонду місцевого бюджету Широківської селищної територіальної громади по власних та закріплених доходах за І квартал 2023 року виконана на 114,4 відсотків до плану, в тому числі: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1) податку та збору на доходи фізичних осіб за звітний період отримано 35094,4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, або на 112,2 відсотків до планових показників, та складає 86,4 відсотків від загального обсягу надходжень загального фонду і є основним бюджетоутворюючим джерелом бюджету селищної ради.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Найбільшими платниками ПДФО залишаються:</w:t>
      </w:r>
    </w:p>
    <w:p w:rsidR="00D45931" w:rsidRPr="00C57FF9" w:rsidRDefault="00D45931" w:rsidP="00D45931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ПРАТ </w:t>
      </w:r>
      <w:r>
        <w:rPr>
          <w:sz w:val="26"/>
          <w:szCs w:val="26"/>
        </w:rPr>
        <w:t>«</w:t>
      </w:r>
      <w:r w:rsidRPr="00C57FF9">
        <w:rPr>
          <w:sz w:val="26"/>
          <w:szCs w:val="26"/>
        </w:rPr>
        <w:t>ІНГЗК</w:t>
      </w:r>
      <w:r>
        <w:rPr>
          <w:sz w:val="26"/>
          <w:szCs w:val="26"/>
        </w:rPr>
        <w:t>»</w:t>
      </w:r>
      <w:r w:rsidRPr="00C57FF9">
        <w:rPr>
          <w:sz w:val="26"/>
          <w:szCs w:val="26"/>
        </w:rPr>
        <w:t>- 1531,3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Відділ освіти Широківської селищної ради – 895,0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ТОВ Дніпровські енергетичні послуги – 244,4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77647F">
        <w:rPr>
          <w:sz w:val="26"/>
          <w:szCs w:val="26"/>
        </w:rPr>
        <w:t>КП «Широківська лікарня» Широківської селищної ради</w:t>
      </w:r>
      <w:r w:rsidRPr="00C57FF9">
        <w:rPr>
          <w:sz w:val="26"/>
          <w:szCs w:val="26"/>
        </w:rPr>
        <w:t xml:space="preserve"> – 534,0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ПАТ </w:t>
      </w:r>
      <w:r>
        <w:rPr>
          <w:sz w:val="26"/>
          <w:szCs w:val="26"/>
        </w:rPr>
        <w:t>«</w:t>
      </w:r>
      <w:r w:rsidRPr="00C57FF9">
        <w:rPr>
          <w:sz w:val="26"/>
          <w:szCs w:val="26"/>
        </w:rPr>
        <w:t>Дніпропетровськгаз</w:t>
      </w:r>
      <w:r>
        <w:rPr>
          <w:sz w:val="26"/>
          <w:szCs w:val="26"/>
        </w:rPr>
        <w:t xml:space="preserve">» </w:t>
      </w:r>
      <w:r w:rsidRPr="00C57FF9">
        <w:rPr>
          <w:sz w:val="26"/>
          <w:szCs w:val="26"/>
        </w:rPr>
        <w:t>- 449,0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77647F">
        <w:rPr>
          <w:sz w:val="26"/>
          <w:szCs w:val="26"/>
        </w:rPr>
        <w:t>КНП «Широківський центр первинної медичної допомоги» Широківської селищної ради</w:t>
      </w:r>
      <w:r w:rsidRPr="00C57FF9">
        <w:rPr>
          <w:sz w:val="26"/>
          <w:szCs w:val="26"/>
        </w:rPr>
        <w:t xml:space="preserve"> - 382,6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ПАТ </w:t>
      </w:r>
      <w:r>
        <w:rPr>
          <w:sz w:val="26"/>
          <w:szCs w:val="26"/>
        </w:rPr>
        <w:t>«</w:t>
      </w:r>
      <w:r w:rsidRPr="00C57FF9">
        <w:rPr>
          <w:sz w:val="26"/>
          <w:szCs w:val="26"/>
        </w:rPr>
        <w:t>ДТЕК Дніпровські електромережі</w:t>
      </w:r>
      <w:r>
        <w:rPr>
          <w:sz w:val="26"/>
          <w:szCs w:val="26"/>
        </w:rPr>
        <w:t>»</w:t>
      </w:r>
      <w:r w:rsidRPr="00C57FF9">
        <w:rPr>
          <w:sz w:val="26"/>
          <w:szCs w:val="26"/>
        </w:rPr>
        <w:t>-378,1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ТОВ </w:t>
      </w:r>
      <w:r>
        <w:rPr>
          <w:sz w:val="26"/>
          <w:szCs w:val="26"/>
        </w:rPr>
        <w:t>«</w:t>
      </w:r>
      <w:r w:rsidRPr="00C57FF9">
        <w:rPr>
          <w:sz w:val="26"/>
          <w:szCs w:val="26"/>
        </w:rPr>
        <w:t>Шестірня</w:t>
      </w:r>
      <w:r>
        <w:rPr>
          <w:sz w:val="26"/>
          <w:szCs w:val="26"/>
        </w:rPr>
        <w:t>»</w:t>
      </w:r>
      <w:r w:rsidRPr="00C57FF9">
        <w:rPr>
          <w:sz w:val="26"/>
          <w:szCs w:val="26"/>
        </w:rPr>
        <w:t xml:space="preserve"> – 261,8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ПП </w:t>
      </w:r>
      <w:r>
        <w:rPr>
          <w:sz w:val="26"/>
          <w:szCs w:val="26"/>
        </w:rPr>
        <w:t>«</w:t>
      </w:r>
      <w:r w:rsidRPr="00C57FF9">
        <w:rPr>
          <w:sz w:val="26"/>
          <w:szCs w:val="26"/>
        </w:rPr>
        <w:t>Сармат</w:t>
      </w:r>
      <w:r>
        <w:rPr>
          <w:sz w:val="26"/>
          <w:szCs w:val="26"/>
        </w:rPr>
        <w:t xml:space="preserve">» </w:t>
      </w:r>
      <w:r w:rsidRPr="00C57FF9">
        <w:rPr>
          <w:sz w:val="26"/>
          <w:szCs w:val="26"/>
        </w:rPr>
        <w:t>-120,8 тис.грн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;</w:t>
      </w:r>
    </w:p>
    <w:p w:rsidR="00D45931" w:rsidRPr="00C57FF9" w:rsidRDefault="00D45931" w:rsidP="00D4593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57FF9">
        <w:rPr>
          <w:rFonts w:ascii="Times New Roman" w:hAnsi="Times New Roman"/>
          <w:sz w:val="26"/>
          <w:szCs w:val="26"/>
        </w:rPr>
        <w:t xml:space="preserve">ТОВ </w:t>
      </w:r>
      <w:r>
        <w:rPr>
          <w:rFonts w:ascii="Times New Roman" w:hAnsi="Times New Roman"/>
          <w:sz w:val="26"/>
          <w:szCs w:val="26"/>
        </w:rPr>
        <w:t>«</w:t>
      </w:r>
      <w:r w:rsidRPr="00C57FF9">
        <w:rPr>
          <w:rFonts w:ascii="Times New Roman" w:hAnsi="Times New Roman"/>
          <w:sz w:val="26"/>
          <w:szCs w:val="26"/>
        </w:rPr>
        <w:t>АВТОМАГІСТРАЛЬ-СХІД</w:t>
      </w:r>
      <w:r>
        <w:rPr>
          <w:rFonts w:ascii="Times New Roman" w:hAnsi="Times New Roman"/>
          <w:sz w:val="26"/>
          <w:szCs w:val="26"/>
        </w:rPr>
        <w:t>»</w:t>
      </w:r>
      <w:r w:rsidRPr="00C57FF9">
        <w:rPr>
          <w:rFonts w:ascii="Times New Roman" w:hAnsi="Times New Roman"/>
          <w:sz w:val="26"/>
          <w:szCs w:val="26"/>
        </w:rPr>
        <w:t xml:space="preserve"> – 270,1 тис.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7FF9">
        <w:rPr>
          <w:rFonts w:ascii="Times New Roman" w:hAnsi="Times New Roman"/>
          <w:sz w:val="26"/>
          <w:szCs w:val="26"/>
        </w:rPr>
        <w:t>грн</w:t>
      </w:r>
      <w:r>
        <w:rPr>
          <w:rFonts w:ascii="Times New Roman" w:hAnsi="Times New Roman"/>
          <w:sz w:val="26"/>
          <w:szCs w:val="26"/>
        </w:rPr>
        <w:t>.</w:t>
      </w:r>
      <w:r w:rsidRPr="00C57FF9">
        <w:rPr>
          <w:rFonts w:ascii="Times New Roman" w:hAnsi="Times New Roman"/>
          <w:sz w:val="26"/>
          <w:szCs w:val="26"/>
        </w:rPr>
        <w:t>.</w:t>
      </w:r>
    </w:p>
    <w:p w:rsidR="00D45931" w:rsidRPr="00C57FF9" w:rsidRDefault="00D45931" w:rsidP="00D45931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57FF9">
        <w:rPr>
          <w:rFonts w:ascii="Times New Roman" w:hAnsi="Times New Roman"/>
          <w:sz w:val="26"/>
          <w:szCs w:val="26"/>
        </w:rPr>
        <w:t>Платники податку на доходи фізичних осіб з грошового забезпечення військовослужбовців – 26504,3 тис.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7FF9">
        <w:rPr>
          <w:rFonts w:ascii="Times New Roman" w:hAnsi="Times New Roman"/>
          <w:sz w:val="26"/>
          <w:szCs w:val="26"/>
        </w:rPr>
        <w:t>грн</w:t>
      </w:r>
      <w:r>
        <w:rPr>
          <w:rFonts w:ascii="Times New Roman" w:hAnsi="Times New Roman"/>
          <w:sz w:val="26"/>
          <w:szCs w:val="26"/>
        </w:rPr>
        <w:t>.</w:t>
      </w:r>
      <w:r w:rsidRPr="00C57FF9">
        <w:rPr>
          <w:rFonts w:ascii="Times New Roman" w:hAnsi="Times New Roman"/>
          <w:sz w:val="26"/>
          <w:szCs w:val="26"/>
        </w:rPr>
        <w:t>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2) єдиний податок отримано 1303,2тис.грн, або на 105,2 відсотків до плану, та складає 3,2 відсотків від загального обсягу надходжень загального фонду.</w:t>
      </w:r>
    </w:p>
    <w:p w:rsidR="00D45931" w:rsidRPr="00C57FF9" w:rsidRDefault="00D45931" w:rsidP="00D45931">
      <w:pPr>
        <w:spacing w:line="276" w:lineRule="auto"/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На рівень надходжень єдиного сільськогосподарського податку вплинуло запровадження воєнного стану та внесенням змін до деяких законодавчих актів України, </w:t>
      </w:r>
      <w:r>
        <w:rPr>
          <w:sz w:val="26"/>
          <w:szCs w:val="26"/>
        </w:rPr>
        <w:t>через що</w:t>
      </w:r>
      <w:r w:rsidRPr="00C57FF9">
        <w:rPr>
          <w:sz w:val="26"/>
          <w:szCs w:val="26"/>
        </w:rPr>
        <w:t xml:space="preserve"> селищний бюджет недоотримав коштів в сумі 454,5тис.грн;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57FF9">
        <w:rPr>
          <w:sz w:val="26"/>
          <w:szCs w:val="26"/>
        </w:rPr>
        <w:t>) плата за землю (земельний податок та орендна плата з юридичних та фізичних осіб) надійшла в сумі 1204,9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або на 103,7 відсотків до плану та складає 3,0 відсотків від надходжень загального фонду.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57FF9">
        <w:rPr>
          <w:sz w:val="26"/>
          <w:szCs w:val="26"/>
        </w:rPr>
        <w:t>) акцизного податку отримано 690,5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, або на 103,7 відсотків до плану, та складає 1,7 відсотка від загального обсягу надходжень загального фонду.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5) неподаткових надходжень (по адміністративним штрафам, зборам, іншим платежам) отримано 1847,4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, або 201,5 відсотків до плану та складає 4,5 відсотків від загального обсягу надходжень.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6) податку на нерухоме майно, відмінне від земельної ділянки, надійшло в сумі 57,3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або на 100,0 відсотків до плану та складає 0,1 відсотків від загального обсягу надходжень загального фонду. В порівнянні з минулим роком надходження зменшилися на 109,4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 внаслідок запровадження воєнного стану, припинення зарахування до місцевих бюджетів.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В цілому, порівняно з аналогічним періодом 2022 року</w:t>
      </w:r>
      <w:r>
        <w:rPr>
          <w:sz w:val="26"/>
          <w:szCs w:val="26"/>
        </w:rPr>
        <w:t>,</w:t>
      </w:r>
      <w:r w:rsidRPr="00C57FF9">
        <w:rPr>
          <w:sz w:val="26"/>
          <w:szCs w:val="26"/>
        </w:rPr>
        <w:t xml:space="preserve"> надходження загального фонду селищного бюджету збільшилися на 25357,4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або у 2,7 рази, зокрема збільшення відбул</w:t>
      </w:r>
      <w:r>
        <w:rPr>
          <w:sz w:val="26"/>
          <w:szCs w:val="26"/>
        </w:rPr>
        <w:t xml:space="preserve">ось по наступним надходженням: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lastRenderedPageBreak/>
        <w:t>- податку та збору на доходи фізичних осіб з грошового забезпечення військовослужбовців надійшло більше на 24255,9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або у 3,2 рази внаслідок разового надходження податку з військовослужбовців у сумі 25168,5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Внаслідок запровадження воєнного стану та внесенням змін до деяких законодавчих актів України, бюджетом селищної ради недоотримано ряд надходжень: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податку на нерухоме майно, відмінне від земельної ділянки, надійшло менше на 109,4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або на 34,4 відсотка менше І кварталу 2022 року;</w:t>
      </w:r>
      <w:r>
        <w:rPr>
          <w:sz w:val="26"/>
          <w:szCs w:val="26"/>
        </w:rPr>
        <w:t xml:space="preserve">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державного мито надійшло на 16,7 тис.грн менше, або на 40,5 відсотків,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податку та збору на доходи фізичних осіб із доходів платника податку у вигляді заробітної плати на 2137,7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або на 21,5 відсотків, зокрема по: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ПРАТ ІнГЗК – на 1160,2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, 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- ПП </w:t>
      </w:r>
      <w:r>
        <w:rPr>
          <w:sz w:val="26"/>
          <w:szCs w:val="26"/>
        </w:rPr>
        <w:t>«</w:t>
      </w:r>
      <w:r w:rsidRPr="00C57FF9">
        <w:rPr>
          <w:sz w:val="26"/>
          <w:szCs w:val="26"/>
        </w:rPr>
        <w:t>Сармат</w:t>
      </w:r>
      <w:r>
        <w:rPr>
          <w:sz w:val="26"/>
          <w:szCs w:val="26"/>
        </w:rPr>
        <w:t xml:space="preserve">» </w:t>
      </w:r>
      <w:r w:rsidRPr="00C57FF9">
        <w:rPr>
          <w:sz w:val="26"/>
          <w:szCs w:val="26"/>
        </w:rPr>
        <w:t>- на 506,2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,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Відділ освіти Широківської селищної ради – на 195,5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- АТ </w:t>
      </w:r>
      <w:r>
        <w:rPr>
          <w:sz w:val="26"/>
          <w:szCs w:val="26"/>
        </w:rPr>
        <w:t>«</w:t>
      </w:r>
      <w:r w:rsidRPr="00C57FF9">
        <w:rPr>
          <w:sz w:val="26"/>
          <w:szCs w:val="26"/>
        </w:rPr>
        <w:t>ДТЕК Дніпровські електромережі</w:t>
      </w:r>
      <w:r>
        <w:rPr>
          <w:sz w:val="26"/>
          <w:szCs w:val="26"/>
        </w:rPr>
        <w:t>» -</w:t>
      </w:r>
      <w:r w:rsidRPr="00C57FF9">
        <w:rPr>
          <w:sz w:val="26"/>
          <w:szCs w:val="26"/>
        </w:rPr>
        <w:t xml:space="preserve"> на 62,7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- ТОВ </w:t>
      </w:r>
      <w:r>
        <w:rPr>
          <w:sz w:val="26"/>
          <w:szCs w:val="26"/>
        </w:rPr>
        <w:t>«</w:t>
      </w:r>
      <w:r w:rsidRPr="00C57FF9">
        <w:rPr>
          <w:sz w:val="26"/>
          <w:szCs w:val="26"/>
        </w:rPr>
        <w:t>Автомагістраль-схід</w:t>
      </w:r>
      <w:r>
        <w:rPr>
          <w:sz w:val="26"/>
          <w:szCs w:val="26"/>
        </w:rPr>
        <w:t>»</w:t>
      </w:r>
      <w:r w:rsidRPr="00C57F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C57FF9">
        <w:rPr>
          <w:sz w:val="26"/>
          <w:szCs w:val="26"/>
        </w:rPr>
        <w:t>на 78,0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- </w:t>
      </w:r>
      <w:r w:rsidRPr="0077647F">
        <w:rPr>
          <w:sz w:val="26"/>
          <w:szCs w:val="26"/>
        </w:rPr>
        <w:t>КНП «Широківський центр первинної медичної допомоги» Широківської селищної ради</w:t>
      </w:r>
      <w:r w:rsidRPr="00C57F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C57FF9">
        <w:rPr>
          <w:sz w:val="26"/>
          <w:szCs w:val="26"/>
        </w:rPr>
        <w:t>на 89,0 тис.грн;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єдиного податку з юридичних осіб</w:t>
      </w:r>
      <w:r>
        <w:rPr>
          <w:sz w:val="26"/>
          <w:szCs w:val="26"/>
        </w:rPr>
        <w:t xml:space="preserve"> - </w:t>
      </w:r>
      <w:r w:rsidRPr="00C57FF9">
        <w:rPr>
          <w:sz w:val="26"/>
          <w:szCs w:val="26"/>
        </w:rPr>
        <w:t>на 100,4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або на 33,3 відсотків;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- єдиного податку з фізичних осіб </w:t>
      </w:r>
      <w:r>
        <w:rPr>
          <w:sz w:val="26"/>
          <w:szCs w:val="26"/>
        </w:rPr>
        <w:t xml:space="preserve">- </w:t>
      </w:r>
      <w:r w:rsidRPr="00C57FF9">
        <w:rPr>
          <w:sz w:val="26"/>
          <w:szCs w:val="26"/>
        </w:rPr>
        <w:t>на 268,1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або на 27,5 відсотків;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- єдиного податку з сільськогосподарських товаровиробників, у яких частка сільськогосподарського товаровиробництва за попередній податковий (звітний) рік дорівнює або перевищує 75 відсотків </w:t>
      </w:r>
      <w:r>
        <w:rPr>
          <w:sz w:val="26"/>
          <w:szCs w:val="26"/>
        </w:rPr>
        <w:t xml:space="preserve">- </w:t>
      </w:r>
      <w:r w:rsidRPr="00C57FF9">
        <w:rPr>
          <w:sz w:val="26"/>
          <w:szCs w:val="26"/>
        </w:rPr>
        <w:t>на 741,2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або у 3,5 рази.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Дохідна частина спеціального фонду селищного бюджету за І квартал 2023 року виконана в сумі 4937,9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в тому числі:</w:t>
      </w:r>
    </w:p>
    <w:p w:rsidR="00D45931" w:rsidRPr="00C57FF9" w:rsidRDefault="00D45931" w:rsidP="00D45931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Власні надходження бюджетних установ становлять (в тому числі благодійні внески, гранти та дарунки) – 4930,4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;</w:t>
      </w:r>
      <w:r w:rsidRPr="00C57FF9">
        <w:rPr>
          <w:sz w:val="26"/>
          <w:szCs w:val="26"/>
        </w:rPr>
        <w:tab/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Екологічний податок становить – 7,4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До загального фонду місцевого бюджету селищної ради за І квартал 2023 року надійшли наступні міжбюджетні трансферти: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базова дотація в сумі 3128,7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;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дотація з обласного бюджету на оплату енергоносіїв установам охорони здоров’я в сумі 186,6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;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освітня субвенція з державного бюджету – 6645,0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 на оплату праці педагогічних працівників громади;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- інша субвенція з обласного бюджету на пільгове медичне обслуговування осіб, які постраждали внаслідок Чорнобильської катастрофи </w:t>
      </w:r>
      <w:r>
        <w:rPr>
          <w:sz w:val="26"/>
          <w:szCs w:val="26"/>
        </w:rPr>
        <w:t>-</w:t>
      </w:r>
      <w:r w:rsidRPr="00C57FF9">
        <w:rPr>
          <w:sz w:val="26"/>
          <w:szCs w:val="26"/>
        </w:rPr>
        <w:t xml:space="preserve"> при річній сумі 9,690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 використано -1,599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 виконавчим комітетом селищної ради на пільгове безоплатне придбання ліків за рецептами лікарів;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- інші субвенції з місцевих бюджетів на спільне утримання будинку дитячої творчості, школи мистецтв, закладів охорони здоров’я, трудового архіву та центру надання соціальних послуг в сумі 5695,5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 (</w:t>
      </w:r>
      <w:r w:rsidRPr="00C57FF9">
        <w:rPr>
          <w:i/>
          <w:sz w:val="26"/>
          <w:szCs w:val="26"/>
        </w:rPr>
        <w:t>в т.ч. Карпівська ТГ – 2441,68</w:t>
      </w:r>
      <w:r>
        <w:rPr>
          <w:i/>
          <w:sz w:val="26"/>
          <w:szCs w:val="26"/>
        </w:rPr>
        <w:t xml:space="preserve"> </w:t>
      </w:r>
      <w:r w:rsidRPr="00C57FF9">
        <w:rPr>
          <w:i/>
          <w:sz w:val="26"/>
          <w:szCs w:val="26"/>
        </w:rPr>
        <w:t>тис.</w:t>
      </w:r>
      <w:r>
        <w:rPr>
          <w:i/>
          <w:sz w:val="26"/>
          <w:szCs w:val="26"/>
        </w:rPr>
        <w:t xml:space="preserve"> </w:t>
      </w:r>
      <w:r w:rsidRPr="00C57FF9">
        <w:rPr>
          <w:i/>
          <w:sz w:val="26"/>
          <w:szCs w:val="26"/>
        </w:rPr>
        <w:t>грн</w:t>
      </w:r>
      <w:r>
        <w:rPr>
          <w:i/>
          <w:sz w:val="26"/>
          <w:szCs w:val="26"/>
        </w:rPr>
        <w:t>.</w:t>
      </w:r>
      <w:r w:rsidRPr="00C57FF9">
        <w:rPr>
          <w:i/>
          <w:sz w:val="26"/>
          <w:szCs w:val="26"/>
        </w:rPr>
        <w:t>; Гречаноподівська ТГ – 2154,1</w:t>
      </w:r>
      <w:r>
        <w:rPr>
          <w:i/>
          <w:sz w:val="26"/>
          <w:szCs w:val="26"/>
        </w:rPr>
        <w:t xml:space="preserve"> </w:t>
      </w:r>
      <w:r w:rsidRPr="00C57FF9">
        <w:rPr>
          <w:i/>
          <w:sz w:val="26"/>
          <w:szCs w:val="26"/>
        </w:rPr>
        <w:t>тис.</w:t>
      </w:r>
      <w:r>
        <w:rPr>
          <w:i/>
          <w:sz w:val="26"/>
          <w:szCs w:val="26"/>
        </w:rPr>
        <w:t xml:space="preserve"> </w:t>
      </w:r>
      <w:r w:rsidRPr="00C57FF9">
        <w:rPr>
          <w:i/>
          <w:sz w:val="26"/>
          <w:szCs w:val="26"/>
        </w:rPr>
        <w:t>грн</w:t>
      </w:r>
      <w:r>
        <w:rPr>
          <w:i/>
          <w:sz w:val="26"/>
          <w:szCs w:val="26"/>
        </w:rPr>
        <w:t>.</w:t>
      </w:r>
      <w:r w:rsidRPr="00C57FF9">
        <w:rPr>
          <w:i/>
          <w:sz w:val="26"/>
          <w:szCs w:val="26"/>
        </w:rPr>
        <w:t>; Новолатівська ТГ – 1099,9</w:t>
      </w:r>
      <w:r>
        <w:rPr>
          <w:i/>
          <w:sz w:val="26"/>
          <w:szCs w:val="26"/>
        </w:rPr>
        <w:t xml:space="preserve"> </w:t>
      </w:r>
      <w:r w:rsidRPr="00C57FF9">
        <w:rPr>
          <w:i/>
          <w:sz w:val="26"/>
          <w:szCs w:val="26"/>
        </w:rPr>
        <w:t>тис.</w:t>
      </w:r>
      <w:r>
        <w:rPr>
          <w:i/>
          <w:sz w:val="26"/>
          <w:szCs w:val="26"/>
        </w:rPr>
        <w:t xml:space="preserve"> </w:t>
      </w:r>
      <w:r w:rsidRPr="00C57FF9">
        <w:rPr>
          <w:i/>
          <w:sz w:val="26"/>
          <w:szCs w:val="26"/>
        </w:rPr>
        <w:t>грн</w:t>
      </w:r>
      <w:r>
        <w:rPr>
          <w:i/>
          <w:sz w:val="26"/>
          <w:szCs w:val="26"/>
        </w:rPr>
        <w:t>.</w:t>
      </w:r>
      <w:r w:rsidRPr="00C57FF9">
        <w:rPr>
          <w:sz w:val="26"/>
          <w:szCs w:val="26"/>
        </w:rPr>
        <w:t>).</w:t>
      </w:r>
    </w:p>
    <w:p w:rsidR="00D45931" w:rsidRPr="00C57FF9" w:rsidRDefault="00D45931" w:rsidP="00D45931">
      <w:pPr>
        <w:ind w:firstLine="567"/>
        <w:jc w:val="both"/>
        <w:rPr>
          <w:i/>
          <w:sz w:val="26"/>
          <w:szCs w:val="26"/>
        </w:rPr>
      </w:pP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b/>
          <w:sz w:val="26"/>
          <w:szCs w:val="26"/>
        </w:rPr>
        <w:t>Видатки загального фонду</w:t>
      </w:r>
      <w:r w:rsidRPr="00C57FF9">
        <w:rPr>
          <w:sz w:val="26"/>
          <w:szCs w:val="26"/>
        </w:rPr>
        <w:t xml:space="preserve"> місцевого бюджету за І квартал 2023 року склали 31750,8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, або 56,1 відсотків до планових показників.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В розрізі соціально-захищених видатків використання коштів загального фонду становить: на оплату праці працівникам </w:t>
      </w:r>
      <w:r>
        <w:rPr>
          <w:sz w:val="26"/>
          <w:szCs w:val="26"/>
        </w:rPr>
        <w:t>-</w:t>
      </w:r>
      <w:r w:rsidRPr="00C57FF9">
        <w:rPr>
          <w:sz w:val="26"/>
          <w:szCs w:val="26"/>
        </w:rPr>
        <w:t xml:space="preserve"> 19643,5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; на оплату за спожиті  енергоносії – 2993,3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; виплати соціальних допомог </w:t>
      </w:r>
      <w:r>
        <w:rPr>
          <w:sz w:val="26"/>
          <w:szCs w:val="26"/>
        </w:rPr>
        <w:t>-</w:t>
      </w:r>
      <w:r w:rsidRPr="00C57FF9">
        <w:rPr>
          <w:sz w:val="26"/>
          <w:szCs w:val="26"/>
        </w:rPr>
        <w:t xml:space="preserve"> 66,2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Видатки спеціального фонду за звітний період виконані в обсязі 12060,9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із них видатки бюджету розвитку 7055,8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видатки за рахунок власних надходжень бюджетних установ – 269,2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інші джерела власних надходжень – 4636,0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 (благодійні внески, надходження за цільовими заходами).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lastRenderedPageBreak/>
        <w:t>По спеціальному фонду (за рахунок бюджету розвитку) капітальні видатки становлять 7055,8 тис. 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.</w:t>
      </w:r>
    </w:p>
    <w:p w:rsidR="00D45931" w:rsidRPr="00C57FF9" w:rsidRDefault="00D45931" w:rsidP="00D45931">
      <w:pPr>
        <w:ind w:firstLine="567"/>
        <w:jc w:val="both"/>
        <w:rPr>
          <w:color w:val="000000"/>
          <w:sz w:val="26"/>
          <w:szCs w:val="26"/>
        </w:rPr>
      </w:pPr>
      <w:r w:rsidRPr="00C57FF9">
        <w:rPr>
          <w:color w:val="000000"/>
          <w:sz w:val="26"/>
          <w:szCs w:val="26"/>
        </w:rPr>
        <w:t>На фінансування заходів та закладів освіти по загальному фонду спрямовано 14190,4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</w:t>
      </w:r>
      <w:bookmarkStart w:id="0" w:name="_GoBack"/>
      <w:bookmarkEnd w:id="0"/>
      <w:r w:rsidRPr="00C57FF9">
        <w:rPr>
          <w:color w:val="000000"/>
          <w:sz w:val="26"/>
          <w:szCs w:val="26"/>
        </w:rPr>
        <w:t>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 зокрема на утримання дошкільних закладів освіти витрачено – 3682,8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.,</w:t>
      </w:r>
      <w:r w:rsidRPr="00C57FF9">
        <w:rPr>
          <w:color w:val="000000"/>
          <w:sz w:val="26"/>
          <w:szCs w:val="26"/>
        </w:rPr>
        <w:t xml:space="preserve"> загальноосвітніх шкіл – 9353,6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 xml:space="preserve"> </w:t>
      </w:r>
      <w:r w:rsidRPr="00C57FF9">
        <w:rPr>
          <w:i/>
          <w:color w:val="000000"/>
          <w:sz w:val="26"/>
          <w:szCs w:val="26"/>
        </w:rPr>
        <w:t>(в</w:t>
      </w:r>
      <w:r w:rsidRPr="00C57FF9">
        <w:rPr>
          <w:color w:val="000000"/>
          <w:sz w:val="26"/>
          <w:szCs w:val="26"/>
        </w:rPr>
        <w:t xml:space="preserve"> </w:t>
      </w:r>
      <w:r w:rsidRPr="00C57FF9">
        <w:rPr>
          <w:i/>
          <w:color w:val="000000"/>
          <w:sz w:val="26"/>
          <w:szCs w:val="26"/>
        </w:rPr>
        <w:t>т.ч. за рахунок місцевого бюджету –3095,2</w:t>
      </w:r>
      <w:r>
        <w:rPr>
          <w:i/>
          <w:color w:val="000000"/>
          <w:sz w:val="26"/>
          <w:szCs w:val="26"/>
        </w:rPr>
        <w:t xml:space="preserve"> </w:t>
      </w:r>
      <w:r w:rsidRPr="00C57FF9">
        <w:rPr>
          <w:i/>
          <w:color w:val="000000"/>
          <w:sz w:val="26"/>
          <w:szCs w:val="26"/>
        </w:rPr>
        <w:t>тис.</w:t>
      </w:r>
      <w:r>
        <w:rPr>
          <w:i/>
          <w:color w:val="000000"/>
          <w:sz w:val="26"/>
          <w:szCs w:val="26"/>
        </w:rPr>
        <w:t xml:space="preserve"> </w:t>
      </w:r>
      <w:r w:rsidRPr="00C57FF9">
        <w:rPr>
          <w:i/>
          <w:color w:val="000000"/>
          <w:sz w:val="26"/>
          <w:szCs w:val="26"/>
        </w:rPr>
        <w:t>грн</w:t>
      </w:r>
      <w:r>
        <w:rPr>
          <w:i/>
          <w:color w:val="000000"/>
          <w:sz w:val="26"/>
          <w:szCs w:val="26"/>
        </w:rPr>
        <w:t>.</w:t>
      </w:r>
      <w:r w:rsidRPr="00C57FF9">
        <w:rPr>
          <w:i/>
          <w:color w:val="000000"/>
          <w:sz w:val="26"/>
          <w:szCs w:val="26"/>
        </w:rPr>
        <w:t>, освітньої субвенції –6258,4</w:t>
      </w:r>
      <w:r>
        <w:rPr>
          <w:i/>
          <w:color w:val="000000"/>
          <w:sz w:val="26"/>
          <w:szCs w:val="26"/>
        </w:rPr>
        <w:t xml:space="preserve"> </w:t>
      </w:r>
      <w:r w:rsidRPr="00C57FF9">
        <w:rPr>
          <w:i/>
          <w:color w:val="000000"/>
          <w:sz w:val="26"/>
          <w:szCs w:val="26"/>
        </w:rPr>
        <w:t>тис</w:t>
      </w:r>
      <w:r>
        <w:rPr>
          <w:i/>
          <w:color w:val="000000"/>
          <w:sz w:val="26"/>
          <w:szCs w:val="26"/>
        </w:rPr>
        <w:t xml:space="preserve"> </w:t>
      </w:r>
      <w:r w:rsidRPr="00C57FF9">
        <w:rPr>
          <w:i/>
          <w:color w:val="000000"/>
          <w:sz w:val="26"/>
          <w:szCs w:val="26"/>
        </w:rPr>
        <w:t>.грн</w:t>
      </w:r>
      <w:r>
        <w:rPr>
          <w:i/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), будинку дитячої творчості – 494,5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 школи естетичного виховання дітей – 652,3 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 xml:space="preserve"> (</w:t>
      </w:r>
      <w:r w:rsidRPr="00C57FF9">
        <w:rPr>
          <w:i/>
          <w:color w:val="000000"/>
          <w:sz w:val="26"/>
          <w:szCs w:val="26"/>
        </w:rPr>
        <w:t>в тому числі за рахунок субвенції з сільських рад – 89,9 тис.</w:t>
      </w:r>
      <w:r>
        <w:rPr>
          <w:i/>
          <w:color w:val="000000"/>
          <w:sz w:val="26"/>
          <w:szCs w:val="26"/>
        </w:rPr>
        <w:t xml:space="preserve"> </w:t>
      </w:r>
      <w:r w:rsidRPr="00C57FF9">
        <w:rPr>
          <w:i/>
          <w:color w:val="000000"/>
          <w:sz w:val="26"/>
          <w:szCs w:val="26"/>
        </w:rPr>
        <w:t>грн</w:t>
      </w:r>
      <w:r>
        <w:rPr>
          <w:i/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), одноразові виплати дітям сиротам при досягненні 18-річного віку – 7,2 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 xml:space="preserve">грн. (4 особи).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color w:val="000000"/>
          <w:sz w:val="26"/>
          <w:szCs w:val="26"/>
        </w:rPr>
        <w:t xml:space="preserve">По галузі державне управління використано коштів по загальному фонду бюджету в сумі </w:t>
      </w:r>
      <w:r w:rsidRPr="00D25CEA">
        <w:rPr>
          <w:color w:val="000000"/>
          <w:sz w:val="26"/>
          <w:szCs w:val="26"/>
        </w:rPr>
        <w:t>4836,3 тис. грн.</w:t>
      </w:r>
      <w:r w:rsidRPr="00C57FF9">
        <w:rPr>
          <w:color w:val="000000"/>
          <w:sz w:val="26"/>
          <w:szCs w:val="26"/>
        </w:rPr>
        <w:t xml:space="preserve"> на забезпечення здійснення повноважень місцевого самоврядування виконавчими органами селищної ради (виконавчим комітетом, відділом фінансів, відділом освіти, </w:t>
      </w:r>
      <w:r w:rsidRPr="00C57FF9">
        <w:rPr>
          <w:sz w:val="26"/>
          <w:szCs w:val="26"/>
        </w:rPr>
        <w:t>відділом культури</w:t>
      </w:r>
      <w:r w:rsidRPr="00C57FF9">
        <w:rPr>
          <w:color w:val="000000"/>
          <w:sz w:val="26"/>
          <w:szCs w:val="26"/>
        </w:rPr>
        <w:t xml:space="preserve">, туризму та спорту, службою у справах дітей). Також проведено видатки на функціонування комунальної установи «Широківський трудовий архів» у сумі 220,7 тис. грн. (з них </w:t>
      </w:r>
      <w:r w:rsidRPr="00C57FF9">
        <w:rPr>
          <w:sz w:val="26"/>
          <w:szCs w:val="26"/>
        </w:rPr>
        <w:t>за рахунок субвенцій з інших сільських рад – 166,9 тис. грн.), чим забезпечено якісне зберігання 12601 справ, опрацювання 195 звернень громадян та видано 244 довідки за запитами.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На заклади культури і мистецтва направлено 1850,5 тис. грн., зокрема на утримання бібліотек витрачено 577,1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 xml:space="preserve">, будинку культури та клубних закладів </w:t>
      </w:r>
      <w:r>
        <w:rPr>
          <w:sz w:val="26"/>
          <w:szCs w:val="26"/>
        </w:rPr>
        <w:t>-</w:t>
      </w:r>
      <w:r w:rsidRPr="00C57FF9">
        <w:rPr>
          <w:sz w:val="26"/>
          <w:szCs w:val="26"/>
        </w:rPr>
        <w:t xml:space="preserve"> 892,1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По галузі фізкультура та спорт на утримання дитячо-юнацької спортивної школи витрачено 397,5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, на утримання та стабільну роботу стадіону «Колос» та проведення заходів – 157,6 тис.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>грн</w:t>
      </w:r>
      <w:r>
        <w:rPr>
          <w:sz w:val="26"/>
          <w:szCs w:val="26"/>
        </w:rPr>
        <w:t>.</w:t>
      </w:r>
      <w:r w:rsidRPr="00C57FF9">
        <w:rPr>
          <w:sz w:val="26"/>
          <w:szCs w:val="26"/>
        </w:rPr>
        <w:t>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По галузі соціальний захист та соціальне забезпечення використання коштів за І квартал 2023 року становить </w:t>
      </w:r>
      <w:r w:rsidRPr="00C57FF9">
        <w:rPr>
          <w:b/>
          <w:sz w:val="26"/>
          <w:szCs w:val="26"/>
        </w:rPr>
        <w:t>1353,5 тис. грн</w:t>
      </w:r>
      <w:r w:rsidRPr="00C57FF9">
        <w:rPr>
          <w:sz w:val="26"/>
          <w:szCs w:val="26"/>
        </w:rPr>
        <w:t xml:space="preserve">., з них на надання матеріальної допомоги громадянам (11 осіб) – </w:t>
      </w:r>
      <w:r w:rsidRPr="00C57FF9">
        <w:rPr>
          <w:b/>
          <w:i/>
          <w:sz w:val="26"/>
          <w:szCs w:val="26"/>
        </w:rPr>
        <w:t>49,0</w:t>
      </w:r>
      <w:r w:rsidRPr="00C57FF9">
        <w:rPr>
          <w:sz w:val="26"/>
          <w:szCs w:val="26"/>
        </w:rPr>
        <w:t xml:space="preserve"> тис. грн., з них на поховання (</w:t>
      </w:r>
      <w:r w:rsidRPr="00C57FF9">
        <w:rPr>
          <w:i/>
          <w:sz w:val="26"/>
          <w:szCs w:val="26"/>
        </w:rPr>
        <w:t>10</w:t>
      </w:r>
      <w:r>
        <w:rPr>
          <w:i/>
          <w:sz w:val="26"/>
          <w:szCs w:val="26"/>
        </w:rPr>
        <w:t xml:space="preserve"> </w:t>
      </w:r>
      <w:r w:rsidRPr="00C57FF9">
        <w:rPr>
          <w:i/>
          <w:sz w:val="26"/>
          <w:szCs w:val="26"/>
        </w:rPr>
        <w:t>осіб</w:t>
      </w:r>
      <w:r w:rsidRPr="00C57FF9">
        <w:rPr>
          <w:sz w:val="26"/>
          <w:szCs w:val="26"/>
        </w:rPr>
        <w:t>) – 45,0 тис. грн., на лікування (1 особа) – 4,0 тис. грн.; компенсація фізичним особам, які надають соціальні послуги по догляду вдома (</w:t>
      </w:r>
      <w:r w:rsidRPr="00C57FF9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 xml:space="preserve"> </w:t>
      </w:r>
      <w:r w:rsidRPr="00C57FF9">
        <w:rPr>
          <w:i/>
          <w:sz w:val="26"/>
          <w:szCs w:val="26"/>
        </w:rPr>
        <w:t>особа</w:t>
      </w:r>
      <w:r w:rsidRPr="00C57FF9">
        <w:rPr>
          <w:sz w:val="26"/>
          <w:szCs w:val="26"/>
        </w:rPr>
        <w:t xml:space="preserve">) – </w:t>
      </w:r>
      <w:r w:rsidRPr="00C57FF9">
        <w:rPr>
          <w:b/>
          <w:i/>
          <w:sz w:val="26"/>
          <w:szCs w:val="26"/>
        </w:rPr>
        <w:t>7,8</w:t>
      </w:r>
      <w:r w:rsidRPr="00C57FF9">
        <w:rPr>
          <w:sz w:val="26"/>
          <w:szCs w:val="26"/>
        </w:rPr>
        <w:t xml:space="preserve"> тис. грн.; надання пільг окремим категоріям громадян з оплати послуг зв’язку (2 особи) – </w:t>
      </w:r>
      <w:r w:rsidRPr="00C57FF9">
        <w:rPr>
          <w:b/>
          <w:sz w:val="26"/>
          <w:szCs w:val="26"/>
        </w:rPr>
        <w:t>0,6</w:t>
      </w:r>
      <w:r w:rsidRPr="00C57FF9">
        <w:rPr>
          <w:sz w:val="26"/>
          <w:szCs w:val="26"/>
        </w:rPr>
        <w:t xml:space="preserve"> тис. грн.; пільгове медичне обслуговування осіб, які постраждали внаслідок Чорнобильської катастрофи (за рахунок обласної субвенції) (1 особа) – </w:t>
      </w:r>
      <w:r w:rsidRPr="00C57FF9">
        <w:rPr>
          <w:b/>
          <w:sz w:val="26"/>
          <w:szCs w:val="26"/>
        </w:rPr>
        <w:t>1,6</w:t>
      </w:r>
      <w:r w:rsidRPr="00C57FF9">
        <w:rPr>
          <w:sz w:val="26"/>
          <w:szCs w:val="26"/>
        </w:rPr>
        <w:t xml:space="preserve"> тис. грн.; на поховання воїнів (4 особи) – </w:t>
      </w:r>
      <w:r w:rsidRPr="00C57FF9">
        <w:rPr>
          <w:b/>
          <w:sz w:val="26"/>
          <w:szCs w:val="26"/>
        </w:rPr>
        <w:t>59,5</w:t>
      </w:r>
      <w:r w:rsidRPr="00C57FF9">
        <w:rPr>
          <w:sz w:val="26"/>
          <w:szCs w:val="26"/>
        </w:rPr>
        <w:t xml:space="preserve"> тис. грн.; на організацію та проведення громадських робіт – </w:t>
      </w:r>
      <w:r w:rsidRPr="00C57FF9">
        <w:rPr>
          <w:b/>
          <w:sz w:val="26"/>
          <w:szCs w:val="26"/>
        </w:rPr>
        <w:t>0,0</w:t>
      </w:r>
      <w:r w:rsidRPr="00C57FF9">
        <w:rPr>
          <w:sz w:val="26"/>
          <w:szCs w:val="26"/>
        </w:rPr>
        <w:t xml:space="preserve"> тис. грн.; на забезпечення функціонування центру надання соціальних послуг здійснено видатки у сумі </w:t>
      </w:r>
      <w:r w:rsidRPr="00C57FF9">
        <w:rPr>
          <w:b/>
          <w:sz w:val="26"/>
          <w:szCs w:val="26"/>
        </w:rPr>
        <w:t xml:space="preserve">1235,0 </w:t>
      </w:r>
      <w:r w:rsidRPr="00C57FF9">
        <w:rPr>
          <w:sz w:val="26"/>
          <w:szCs w:val="26"/>
        </w:rPr>
        <w:t xml:space="preserve">тис. грн. </w:t>
      </w:r>
      <w:r w:rsidRPr="00C57FF9">
        <w:rPr>
          <w:i/>
          <w:sz w:val="26"/>
          <w:szCs w:val="26"/>
        </w:rPr>
        <w:t>(в тому числі за рахунок субвенцій з інших сільських рад - 879,4 тис. грн.)</w:t>
      </w:r>
      <w:r>
        <w:rPr>
          <w:i/>
          <w:sz w:val="26"/>
          <w:szCs w:val="26"/>
        </w:rPr>
        <w:t>,</w:t>
      </w:r>
      <w:r w:rsidRPr="00C57FF9">
        <w:rPr>
          <w:i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чим забезпечено надання соціальних послуг 51 сім’ї, що опинилася у складних життєвих обставинах, в яких виховується 162 дитини, з яких 22 сім’ї, 65 дітей, перебували під соціальним супроводом; соціальним супроводженням охоплено 4 прийомних сім’ї, де виховується 6 дітей, та 3 дитячі будинки сімейного типу, де є 18 дітей; соціальною роботою охоплено 33 сім’ї, в яких виховується 42 дитини під опікою, піклуванням, з яких 16 сімей, 20 дітей, перебували під соціальним супроводом. Соціальні послуги догляду вдома та натуральної допомоги надавалася 151 громадянам похилого віку</w:t>
      </w:r>
      <w:r>
        <w:rPr>
          <w:color w:val="000000"/>
          <w:sz w:val="26"/>
          <w:szCs w:val="26"/>
        </w:rPr>
        <w:t>,</w:t>
      </w:r>
      <w:r w:rsidRPr="00C57FF9">
        <w:rPr>
          <w:color w:val="000000"/>
          <w:sz w:val="26"/>
          <w:szCs w:val="26"/>
        </w:rPr>
        <w:t xml:space="preserve"> відповідно до державних стандартів отримують від соціальних робітників послуги догляду вдома і натуральної допомоги. 63 чоловіка користувалися технічними засобами реабілітації.</w:t>
      </w:r>
      <w:r w:rsidRPr="00C57FF9">
        <w:rPr>
          <w:sz w:val="26"/>
          <w:szCs w:val="26"/>
        </w:rPr>
        <w:t xml:space="preserve"> Проводилися соціальна профілактика, інформування та консультування з 16 повнолітніми особами, які засуджені до покарань, не пов’язаних з позбавленням волі. Також сім’я неповнолітнього цієї ж категорії перебувала під соціальним супроводом. Проводилося консультування для 7 осіб з числа дітей-сиріт, дітей, позбавлених батьківського піклування, щодо оформлення документів під час придбання житла, дистанційного навчання в закладах освіти різного рівня акредитації, пошуку роботи та працевлаштування з укладанням трудового договору та інших життєвоважливих питань.</w:t>
      </w:r>
    </w:p>
    <w:p w:rsidR="00D45931" w:rsidRDefault="00D45931" w:rsidP="00D45931">
      <w:pPr>
        <w:ind w:firstLine="567"/>
        <w:jc w:val="both"/>
        <w:rPr>
          <w:color w:val="000000"/>
          <w:sz w:val="26"/>
          <w:szCs w:val="26"/>
        </w:rPr>
      </w:pPr>
      <w:r w:rsidRPr="00C57FF9">
        <w:rPr>
          <w:color w:val="000000"/>
          <w:sz w:val="26"/>
          <w:szCs w:val="26"/>
        </w:rPr>
        <w:t>По закладам охорони здоров’я використання коштів по спеціальному фонду становить 10,0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 xml:space="preserve"> та загальному фонду місцевого бюджету склало 4506,5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 з них:</w:t>
      </w:r>
    </w:p>
    <w:p w:rsidR="00D45931" w:rsidRPr="00C57FF9" w:rsidRDefault="00D45931" w:rsidP="00D45931">
      <w:pPr>
        <w:ind w:firstLine="567"/>
        <w:jc w:val="both"/>
        <w:rPr>
          <w:color w:val="000000"/>
          <w:sz w:val="26"/>
          <w:szCs w:val="26"/>
        </w:rPr>
      </w:pPr>
      <w:r w:rsidRPr="00C57FF9">
        <w:rPr>
          <w:color w:val="000000"/>
          <w:sz w:val="26"/>
          <w:szCs w:val="26"/>
        </w:rPr>
        <w:lastRenderedPageBreak/>
        <w:t>- фінансова підтримк</w:t>
      </w:r>
      <w:r>
        <w:rPr>
          <w:color w:val="000000"/>
          <w:sz w:val="26"/>
          <w:szCs w:val="26"/>
        </w:rPr>
        <w:t>а</w:t>
      </w:r>
      <w:r w:rsidRPr="00C57FF9">
        <w:rPr>
          <w:color w:val="000000"/>
          <w:sz w:val="26"/>
          <w:szCs w:val="26"/>
        </w:rPr>
        <w:t xml:space="preserve"> КП «Широківська лікарня» - 2952,6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 xml:space="preserve"> (</w:t>
      </w:r>
      <w:r w:rsidRPr="00C57FF9">
        <w:rPr>
          <w:i/>
          <w:color w:val="000000"/>
          <w:sz w:val="26"/>
          <w:szCs w:val="26"/>
        </w:rPr>
        <w:t>в тому числі за рахунок субвенції з сільських рад –3483,7</w:t>
      </w:r>
      <w:r>
        <w:rPr>
          <w:i/>
          <w:color w:val="000000"/>
          <w:sz w:val="26"/>
          <w:szCs w:val="26"/>
        </w:rPr>
        <w:t xml:space="preserve"> </w:t>
      </w:r>
      <w:r w:rsidRPr="00C57FF9">
        <w:rPr>
          <w:i/>
          <w:color w:val="000000"/>
          <w:sz w:val="26"/>
          <w:szCs w:val="26"/>
        </w:rPr>
        <w:t>тис.</w:t>
      </w:r>
      <w:r>
        <w:rPr>
          <w:i/>
          <w:color w:val="000000"/>
          <w:sz w:val="26"/>
          <w:szCs w:val="26"/>
        </w:rPr>
        <w:t xml:space="preserve"> </w:t>
      </w:r>
      <w:r w:rsidRPr="00C57FF9">
        <w:rPr>
          <w:i/>
          <w:color w:val="000000"/>
          <w:sz w:val="26"/>
          <w:szCs w:val="26"/>
        </w:rPr>
        <w:t>грн</w:t>
      </w:r>
      <w:r>
        <w:rPr>
          <w:i/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,</w:t>
      </w:r>
      <w:r w:rsidRPr="00C57FF9">
        <w:rPr>
          <w:color w:val="000000"/>
          <w:sz w:val="26"/>
          <w:szCs w:val="26"/>
        </w:rPr>
        <w:t xml:space="preserve"> які направлено на оплату видатків з пільгового зубопротезування –2,7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 оплату за спожиті енергоносії – 1004,5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</w:t>
      </w:r>
      <w:r w:rsidRPr="00C57FF9">
        <w:rPr>
          <w:color w:val="FF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на забезпечення стимулюючих виплат по оплаті праці працівникам – 1754,4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</w:t>
      </w:r>
      <w:r w:rsidRPr="00C57FF9">
        <w:rPr>
          <w:color w:val="FF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на придбання медикаментів– 60,9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 продуктів харчування – 78,2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</w:t>
      </w:r>
      <w:r w:rsidRPr="00C57FF9">
        <w:rPr>
          <w:color w:val="FF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на стабільне функціонування закладу – 51,9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.,</w:t>
      </w:r>
      <w:r w:rsidRPr="00C57FF9">
        <w:rPr>
          <w:color w:val="000000"/>
          <w:sz w:val="26"/>
          <w:szCs w:val="26"/>
        </w:rPr>
        <w:t xml:space="preserve"> виконання експертизи капітального ремонту протирадіаційного укриття – 10,0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грн.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 xml:space="preserve"> Та кошти спеціального фонду в сумі 10,0 тис. грн</w:t>
      </w:r>
      <w:r>
        <w:rPr>
          <w:color w:val="000000"/>
          <w:sz w:val="26"/>
          <w:szCs w:val="26"/>
        </w:rPr>
        <w:t>.,</w:t>
      </w:r>
      <w:r w:rsidRPr="00C57FF9">
        <w:rPr>
          <w:color w:val="000000"/>
          <w:sz w:val="26"/>
          <w:szCs w:val="26"/>
        </w:rPr>
        <w:t xml:space="preserve"> спрямовані на виконання експертизи капітального ремонту протирадіаційного укриття в підвальному приміщення КП«Широківська лікарня»; </w:t>
      </w:r>
    </w:p>
    <w:p w:rsidR="00D45931" w:rsidRPr="00C57FF9" w:rsidRDefault="00D45931" w:rsidP="00D45931">
      <w:pPr>
        <w:ind w:firstLine="567"/>
        <w:jc w:val="both"/>
        <w:rPr>
          <w:color w:val="000000"/>
          <w:sz w:val="26"/>
          <w:szCs w:val="26"/>
        </w:rPr>
      </w:pPr>
      <w:r w:rsidRPr="00C57FF9">
        <w:rPr>
          <w:color w:val="000000"/>
          <w:sz w:val="26"/>
          <w:szCs w:val="26"/>
        </w:rPr>
        <w:t>- фінансова підтримка КНП «Широківський центр первинної медичної допомоги» - 1553,9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 xml:space="preserve"> (</w:t>
      </w:r>
      <w:r w:rsidRPr="00C57FF9">
        <w:rPr>
          <w:i/>
          <w:color w:val="000000"/>
          <w:sz w:val="26"/>
          <w:szCs w:val="26"/>
        </w:rPr>
        <w:t>з них за рахунок субвенції з сільських рад –1383,5 тис.</w:t>
      </w:r>
      <w:r>
        <w:rPr>
          <w:i/>
          <w:color w:val="000000"/>
          <w:sz w:val="26"/>
          <w:szCs w:val="26"/>
        </w:rPr>
        <w:t xml:space="preserve"> </w:t>
      </w:r>
      <w:r w:rsidRPr="00C57FF9">
        <w:rPr>
          <w:i/>
          <w:color w:val="000000"/>
          <w:sz w:val="26"/>
          <w:szCs w:val="26"/>
        </w:rPr>
        <w:t>грн</w:t>
      </w:r>
      <w:r>
        <w:rPr>
          <w:i/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), які направлено на оплату за спожиті енергоносії закладів первинної допомоги –463,7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 на безкоштовні рецепти пільговим категоріям громадян –116,0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 на оплату праці працівників закладів первинної допомоги –826,1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 на придбання медикаментів– 122,6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, на поточне утримання закладів –25,5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тис.</w:t>
      </w:r>
      <w:r>
        <w:rPr>
          <w:color w:val="000000"/>
          <w:sz w:val="26"/>
          <w:szCs w:val="26"/>
        </w:rPr>
        <w:t xml:space="preserve"> </w:t>
      </w:r>
      <w:r w:rsidRPr="00C57FF9">
        <w:rPr>
          <w:color w:val="000000"/>
          <w:sz w:val="26"/>
          <w:szCs w:val="26"/>
        </w:rPr>
        <w:t>грн</w:t>
      </w:r>
      <w:r>
        <w:rPr>
          <w:color w:val="000000"/>
          <w:sz w:val="26"/>
          <w:szCs w:val="26"/>
        </w:rPr>
        <w:t>.</w:t>
      </w:r>
      <w:r w:rsidRPr="00C57FF9">
        <w:rPr>
          <w:color w:val="000000"/>
          <w:sz w:val="26"/>
          <w:szCs w:val="26"/>
        </w:rPr>
        <w:t>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По галузі житлово-комунального господарства використано коштів загального фонду селищного бюджету </w:t>
      </w:r>
      <w:r w:rsidRPr="00C57FF9">
        <w:rPr>
          <w:b/>
          <w:sz w:val="26"/>
          <w:szCs w:val="26"/>
        </w:rPr>
        <w:t>256,9 тис.</w:t>
      </w:r>
      <w:r>
        <w:rPr>
          <w:b/>
          <w:sz w:val="26"/>
          <w:szCs w:val="26"/>
        </w:rPr>
        <w:t xml:space="preserve"> </w:t>
      </w:r>
      <w:r w:rsidRPr="00C57FF9">
        <w:rPr>
          <w:b/>
          <w:sz w:val="26"/>
          <w:szCs w:val="26"/>
        </w:rPr>
        <w:t>грн</w:t>
      </w:r>
      <w:r w:rsidRPr="00C57FF9">
        <w:rPr>
          <w:sz w:val="26"/>
          <w:szCs w:val="26"/>
        </w:rPr>
        <w:t>. на забезпечення здійснення таких заходів: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робіт з благоустрою – 250,8 тис. грн. (</w:t>
      </w:r>
      <w:r w:rsidRPr="00C57FF9">
        <w:rPr>
          <w:i/>
          <w:sz w:val="26"/>
          <w:szCs w:val="26"/>
        </w:rPr>
        <w:t>збирання та вивіз сміття, ліквідація стихійних сміттєзвалищ, організація роботи та оплата праці робітників з благоустрою, упорядкування об’єктів благоустрою</w:t>
      </w:r>
      <w:r w:rsidRPr="00C57FF9">
        <w:rPr>
          <w:sz w:val="26"/>
          <w:szCs w:val="26"/>
        </w:rPr>
        <w:t xml:space="preserve">); 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оплати за використану електроенергію по вуличному освітленню та обслуговування вуличного освітлення – 6,1 тис. грн..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По галузі економічної діяльності використано коштів у сумі </w:t>
      </w:r>
      <w:r w:rsidRPr="00C57FF9">
        <w:rPr>
          <w:b/>
          <w:sz w:val="26"/>
          <w:szCs w:val="26"/>
        </w:rPr>
        <w:t xml:space="preserve">338,7 тис. грн., </w:t>
      </w:r>
      <w:r w:rsidRPr="00C57FF9">
        <w:rPr>
          <w:sz w:val="26"/>
          <w:szCs w:val="26"/>
        </w:rPr>
        <w:t>в т.ч. по загальному фонду бюджету - 238,8 тис. грн. на утримання та розвиток автомобільних доріг та дорожньої інфраструктури (на придбання шлаку гранульованого та на послуги з підсипки та грейдерування доріг), по спеціальному фонду бюджету – 99,9 тис. грн.</w:t>
      </w:r>
      <w:r w:rsidRPr="00C57FF9">
        <w:rPr>
          <w:b/>
          <w:sz w:val="26"/>
          <w:szCs w:val="26"/>
        </w:rPr>
        <w:t xml:space="preserve"> </w:t>
      </w:r>
      <w:r w:rsidRPr="00C57FF9">
        <w:rPr>
          <w:sz w:val="26"/>
          <w:szCs w:val="26"/>
        </w:rPr>
        <w:t>на виконання заходів за рахунок цільового фонду для виконання робіт з омолоджуючої обрізки дерев.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 xml:space="preserve">За І квартал 2023 року профінансовано міжбюджетних трансфертів у сумі </w:t>
      </w:r>
      <w:r w:rsidRPr="00C57FF9">
        <w:rPr>
          <w:b/>
          <w:sz w:val="26"/>
          <w:szCs w:val="26"/>
        </w:rPr>
        <w:t xml:space="preserve">10084,3 тис. грн., </w:t>
      </w:r>
      <w:r w:rsidRPr="00C57FF9">
        <w:rPr>
          <w:sz w:val="26"/>
          <w:szCs w:val="26"/>
        </w:rPr>
        <w:t>в т.ч. з загального фонду бюджету – 3484,3 тис. грн. (200,0 тис. грн. – інші субвенції з місцевого бюджету до районного бюджету на виконання заходів розвитку місцевого самоврядування, 3284,3 тис. грн. - субвенція з МБ ДБ на виконання соціально-економічного розвитку регіонів для забезпечення національної безпеки на території Широківської селищної ради), з спеціального фонду бюджету – 6600,0 тис. грн. – субвенція з МБ ДБ на виконання соціально-економічного розвитку регіонів для забезпечення національної безпеки на території Широківської селищної ради.</w:t>
      </w:r>
    </w:p>
    <w:p w:rsidR="00D45931" w:rsidRPr="00C57FF9" w:rsidRDefault="00D45931" w:rsidP="00D45931">
      <w:pPr>
        <w:ind w:firstLine="567"/>
        <w:jc w:val="both"/>
        <w:rPr>
          <w:sz w:val="26"/>
          <w:szCs w:val="26"/>
        </w:rPr>
      </w:pPr>
      <w:r w:rsidRPr="00C57FF9">
        <w:rPr>
          <w:sz w:val="26"/>
          <w:szCs w:val="26"/>
        </w:rPr>
        <w:t>Прострочена заборгованість із виплати заробітної плати працівникам та по розрахунках за спожиті енергоносії бюджетних установ станом на 01.04.2023</w:t>
      </w:r>
      <w:r>
        <w:rPr>
          <w:sz w:val="26"/>
          <w:szCs w:val="26"/>
        </w:rPr>
        <w:t xml:space="preserve"> </w:t>
      </w:r>
      <w:r w:rsidRPr="00C57FF9">
        <w:rPr>
          <w:sz w:val="26"/>
          <w:szCs w:val="26"/>
        </w:rPr>
        <w:t xml:space="preserve">року відсутня. </w:t>
      </w:r>
    </w:p>
    <w:p w:rsidR="00D45931" w:rsidRPr="00C57FF9" w:rsidRDefault="00D45931" w:rsidP="00D45931">
      <w:pPr>
        <w:ind w:firstLine="709"/>
        <w:jc w:val="both"/>
        <w:rPr>
          <w:sz w:val="26"/>
          <w:szCs w:val="26"/>
          <w:highlight w:val="yellow"/>
        </w:rPr>
      </w:pPr>
    </w:p>
    <w:p w:rsidR="00D45931" w:rsidRPr="00C57FF9" w:rsidRDefault="00D45931" w:rsidP="00D45931">
      <w:pPr>
        <w:rPr>
          <w:sz w:val="26"/>
          <w:szCs w:val="26"/>
        </w:rPr>
      </w:pPr>
      <w:r w:rsidRPr="00C57FF9">
        <w:rPr>
          <w:sz w:val="26"/>
          <w:szCs w:val="26"/>
        </w:rPr>
        <w:t>Начальник відділу фінансів</w:t>
      </w:r>
    </w:p>
    <w:p w:rsidR="00D45931" w:rsidRDefault="00D45931" w:rsidP="00D45931">
      <w:r w:rsidRPr="00C57FF9">
        <w:rPr>
          <w:sz w:val="26"/>
          <w:szCs w:val="26"/>
        </w:rPr>
        <w:t>Широківської селищної ради                                               Лариса ЗАХАРЧЕНКО</w:t>
      </w:r>
    </w:p>
    <w:sectPr w:rsidR="00D45931" w:rsidSect="00C629E1">
      <w:pgSz w:w="11906" w:h="16838"/>
      <w:pgMar w:top="142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14F" w:rsidRDefault="00FE014F" w:rsidP="004269AB">
      <w:r>
        <w:separator/>
      </w:r>
    </w:p>
  </w:endnote>
  <w:endnote w:type="continuationSeparator" w:id="0">
    <w:p w:rsidR="00FE014F" w:rsidRDefault="00FE014F" w:rsidP="00426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14F" w:rsidRDefault="00FE014F" w:rsidP="004269AB">
      <w:r>
        <w:separator/>
      </w:r>
    </w:p>
  </w:footnote>
  <w:footnote w:type="continuationSeparator" w:id="0">
    <w:p w:rsidR="00FE014F" w:rsidRDefault="00FE014F" w:rsidP="00426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296007"/>
    <w:multiLevelType w:val="hybridMultilevel"/>
    <w:tmpl w:val="66B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C38A9"/>
    <w:multiLevelType w:val="hybridMultilevel"/>
    <w:tmpl w:val="01CAF1E4"/>
    <w:lvl w:ilvl="0" w:tplc="60FC32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1E0"/>
    <w:rsid w:val="00014E03"/>
    <w:rsid w:val="00017BAF"/>
    <w:rsid w:val="0002368A"/>
    <w:rsid w:val="000661E0"/>
    <w:rsid w:val="000B3880"/>
    <w:rsid w:val="001163C1"/>
    <w:rsid w:val="00152D10"/>
    <w:rsid w:val="00161597"/>
    <w:rsid w:val="00180BAE"/>
    <w:rsid w:val="00181B11"/>
    <w:rsid w:val="0024573C"/>
    <w:rsid w:val="00280932"/>
    <w:rsid w:val="00284481"/>
    <w:rsid w:val="00287E8B"/>
    <w:rsid w:val="002B4E1B"/>
    <w:rsid w:val="0032493E"/>
    <w:rsid w:val="003F5C74"/>
    <w:rsid w:val="0040622F"/>
    <w:rsid w:val="004269AB"/>
    <w:rsid w:val="00432285"/>
    <w:rsid w:val="00471235"/>
    <w:rsid w:val="00481F2E"/>
    <w:rsid w:val="00491650"/>
    <w:rsid w:val="004B3028"/>
    <w:rsid w:val="004C5624"/>
    <w:rsid w:val="004F27E4"/>
    <w:rsid w:val="004F4338"/>
    <w:rsid w:val="005107BD"/>
    <w:rsid w:val="00546CE5"/>
    <w:rsid w:val="005C581E"/>
    <w:rsid w:val="005D52AB"/>
    <w:rsid w:val="005F66AF"/>
    <w:rsid w:val="00603DAC"/>
    <w:rsid w:val="00614328"/>
    <w:rsid w:val="00615182"/>
    <w:rsid w:val="00637D52"/>
    <w:rsid w:val="00666944"/>
    <w:rsid w:val="006700DD"/>
    <w:rsid w:val="00673B3E"/>
    <w:rsid w:val="006806F3"/>
    <w:rsid w:val="006940F4"/>
    <w:rsid w:val="00696790"/>
    <w:rsid w:val="006D6648"/>
    <w:rsid w:val="006F2F71"/>
    <w:rsid w:val="00764FB1"/>
    <w:rsid w:val="007768A1"/>
    <w:rsid w:val="00781F93"/>
    <w:rsid w:val="00790EC5"/>
    <w:rsid w:val="007A34FC"/>
    <w:rsid w:val="007E426A"/>
    <w:rsid w:val="008062E5"/>
    <w:rsid w:val="00884A4E"/>
    <w:rsid w:val="008E5DA4"/>
    <w:rsid w:val="008F7DB1"/>
    <w:rsid w:val="00904CAB"/>
    <w:rsid w:val="00905202"/>
    <w:rsid w:val="00945CEC"/>
    <w:rsid w:val="00952109"/>
    <w:rsid w:val="009928B5"/>
    <w:rsid w:val="009F019D"/>
    <w:rsid w:val="00AA79C9"/>
    <w:rsid w:val="00AD399D"/>
    <w:rsid w:val="00B245DF"/>
    <w:rsid w:val="00B25CA7"/>
    <w:rsid w:val="00B4047E"/>
    <w:rsid w:val="00B62CF3"/>
    <w:rsid w:val="00B80FF2"/>
    <w:rsid w:val="00BA798C"/>
    <w:rsid w:val="00BB11A5"/>
    <w:rsid w:val="00BC05B4"/>
    <w:rsid w:val="00BD1793"/>
    <w:rsid w:val="00C117E7"/>
    <w:rsid w:val="00C420FD"/>
    <w:rsid w:val="00C52B57"/>
    <w:rsid w:val="00C629E1"/>
    <w:rsid w:val="00C678E6"/>
    <w:rsid w:val="00CD41AD"/>
    <w:rsid w:val="00CF5FC3"/>
    <w:rsid w:val="00D0505E"/>
    <w:rsid w:val="00D45931"/>
    <w:rsid w:val="00D50D8C"/>
    <w:rsid w:val="00D61A88"/>
    <w:rsid w:val="00D62E37"/>
    <w:rsid w:val="00D6535D"/>
    <w:rsid w:val="00D705E7"/>
    <w:rsid w:val="00DC208C"/>
    <w:rsid w:val="00E16CB7"/>
    <w:rsid w:val="00E619FA"/>
    <w:rsid w:val="00E664B1"/>
    <w:rsid w:val="00E847F0"/>
    <w:rsid w:val="00EA1172"/>
    <w:rsid w:val="00EE41E9"/>
    <w:rsid w:val="00F05229"/>
    <w:rsid w:val="00F3748A"/>
    <w:rsid w:val="00F70AFE"/>
    <w:rsid w:val="00F75BA5"/>
    <w:rsid w:val="00F817BD"/>
    <w:rsid w:val="00FE014F"/>
    <w:rsid w:val="00FE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629E1"/>
    <w:pPr>
      <w:keepNext/>
      <w:ind w:left="540" w:right="535" w:firstLine="900"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C629E1"/>
    <w:pPr>
      <w:keepNext/>
      <w:ind w:left="540" w:right="535" w:firstLine="900"/>
      <w:jc w:val="both"/>
      <w:outlineLvl w:val="1"/>
    </w:pPr>
    <w:rPr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661E0"/>
    <w:pPr>
      <w:suppressAutoHyphens/>
      <w:ind w:left="1428"/>
    </w:pPr>
    <w:rPr>
      <w:sz w:val="28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066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1E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semiHidden/>
    <w:unhideWhenUsed/>
    <w:rsid w:val="004269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69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4269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9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Title"/>
    <w:basedOn w:val="a"/>
    <w:next w:val="a"/>
    <w:link w:val="aa"/>
    <w:qFormat/>
    <w:rsid w:val="006967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69679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C629E1"/>
    <w:rPr>
      <w:rFonts w:ascii="Times New Roman" w:eastAsia="Times New Roman" w:hAnsi="Times New Roman" w:cs="Times New Roman"/>
      <w:b/>
      <w:bCs/>
      <w:sz w:val="2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629E1"/>
    <w:rPr>
      <w:rFonts w:ascii="Times New Roman" w:eastAsia="Times New Roman" w:hAnsi="Times New Roman" w:cs="Times New Roman"/>
      <w:sz w:val="26"/>
      <w:szCs w:val="24"/>
      <w:u w:val="single"/>
      <w:lang w:val="uk-UA" w:eastAsia="ru-RU"/>
    </w:rPr>
  </w:style>
  <w:style w:type="paragraph" w:styleId="ab">
    <w:name w:val="List Paragraph"/>
    <w:basedOn w:val="a"/>
    <w:link w:val="ac"/>
    <w:uiPriority w:val="34"/>
    <w:qFormat/>
    <w:rsid w:val="00D459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rsid w:val="00D459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27A9-EB90-4BC8-9FA9-91210040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SRada1</dc:creator>
  <cp:lastModifiedBy>21rsedo01</cp:lastModifiedBy>
  <cp:revision>2</cp:revision>
  <cp:lastPrinted>2023-02-24T07:05:00Z</cp:lastPrinted>
  <dcterms:created xsi:type="dcterms:W3CDTF">2024-07-22T12:17:00Z</dcterms:created>
  <dcterms:modified xsi:type="dcterms:W3CDTF">2024-07-22T12:17:00Z</dcterms:modified>
</cp:coreProperties>
</file>